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D5D1" w14:textId="611F415D" w:rsidR="006C1DF8" w:rsidRPr="00187487"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eastAsia="Times New Roman" w:hAnsi="Times New Roman" w:cs="Times New Roman"/>
          <w:b/>
          <w:bCs/>
          <w:sz w:val="26"/>
          <w:szCs w:val="26"/>
          <w:lang w:val="de-DE"/>
        </w:rPr>
      </w:pPr>
      <w:r>
        <w:rPr>
          <w:rFonts w:ascii="Times New Roman" w:hAnsi="Times New Roman" w:cs="Times New Roman"/>
          <w:b/>
          <w:bCs/>
          <w:sz w:val="26"/>
          <w:szCs w:val="26"/>
          <w:lang w:val="de-DE"/>
        </w:rPr>
        <w:t xml:space="preserve">BELEHRUNG ÜBER RECHTE UND PFLICHTEN </w:t>
      </w:r>
    </w:p>
    <w:p w14:paraId="5A65978E" w14:textId="77777777" w:rsidR="006C1DF8" w:rsidRPr="00187487"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4"/>
          <w:szCs w:val="4"/>
          <w:lang w:val="de-DE"/>
        </w:rPr>
      </w:pPr>
    </w:p>
    <w:p w14:paraId="0673FA42" w14:textId="77777777" w:rsidR="006C1DF8" w:rsidRPr="00187487"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6"/>
          <w:szCs w:val="6"/>
          <w:lang w:val="de-DE"/>
        </w:rPr>
      </w:pPr>
    </w:p>
    <w:p w14:paraId="2A545706" w14:textId="77777777" w:rsidR="006C1DF8" w:rsidRPr="00187487"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Times New Roman" w:eastAsia="Times New Roman" w:hAnsi="Times New Roman" w:cs="Times New Roman"/>
          <w:b/>
          <w:bCs/>
          <w:sz w:val="20"/>
          <w:szCs w:val="20"/>
          <w:lang w:val="de-DE"/>
        </w:rPr>
      </w:pPr>
      <w:r>
        <w:rPr>
          <w:rFonts w:ascii="Times New Roman" w:hAnsi="Times New Roman" w:cs="Times New Roman"/>
          <w:b/>
          <w:bCs/>
          <w:sz w:val="20"/>
          <w:szCs w:val="20"/>
          <w:lang w:val="de-DE"/>
        </w:rPr>
        <w:t>Der Angeklagte hat die folgenden Rechte und Pflichten:</w:t>
      </w:r>
    </w:p>
    <w:p w14:paraId="009B38A1" w14:textId="77777777" w:rsidR="006C1DF8" w:rsidRPr="006C1DF8" w:rsidRDefault="006C1DF8" w:rsidP="00AB4615">
      <w:pPr>
        <w:numPr>
          <w:ilvl w:val="0"/>
          <w:numId w:val="1"/>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rPr>
      </w:pPr>
      <w:r>
        <w:rPr>
          <w:rFonts w:ascii="Times New Roman" w:hAnsi="Times New Roman" w:cs="Times New Roman"/>
          <w:sz w:val="20"/>
          <w:szCs w:val="20"/>
          <w:lang w:val="de-DE"/>
        </w:rPr>
        <w:t>Das Recht, eine Einlassung abzugeben, die Einlassung zu verweigern oder die Beantwortung einzelner Fragen abzulehnen, ohne hierfür Gründe angeben zu müssen. (Art. 175 § 1)</w:t>
      </w:r>
      <w:r>
        <w:rPr>
          <w:rFonts w:ascii="Times New Roman" w:hAnsi="Times New Roman" w:cs="Times New Roman"/>
          <w:sz w:val="16"/>
          <w:szCs w:val="16"/>
          <w:lang w:val="de-DE"/>
        </w:rPr>
        <w:t>2)</w:t>
      </w:r>
      <w:r>
        <w:rPr>
          <w:rFonts w:ascii="Times New Roman" w:hAnsi="Times New Roman" w:cs="Times New Roman"/>
          <w:sz w:val="20"/>
          <w:szCs w:val="20"/>
          <w:lang w:val="de-DE"/>
        </w:rPr>
        <w:t xml:space="preserve">. </w:t>
      </w:r>
    </w:p>
    <w:p w14:paraId="5DD83BD9" w14:textId="77777777" w:rsidR="006C1DF8" w:rsidRPr="00187487"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de-DE"/>
        </w:rPr>
      </w:pPr>
      <w:r>
        <w:rPr>
          <w:rFonts w:ascii="Times New Roman" w:hAnsi="Times New Roman" w:cs="Times New Roman"/>
          <w:color w:val="000000"/>
          <w:sz w:val="20"/>
          <w:szCs w:val="20"/>
          <w:lang w:val="de-DE"/>
        </w:rPr>
        <w:t xml:space="preserve">Das Recht, </w:t>
      </w:r>
      <w:r>
        <w:rPr>
          <w:rFonts w:ascii="Times New Roman" w:hAnsi="Times New Roman" w:cs="Times New Roman"/>
          <w:sz w:val="20"/>
          <w:szCs w:val="20"/>
          <w:lang w:val="de-DE"/>
        </w:rPr>
        <w:t xml:space="preserve">den Beistand eines Verteidigers seiner Wahl in Anspruch zu nehmen. Wenn der Angeklagte nachweist, dass er nicht in der Lage ist, die Kosten für einen Verteidiger seiner Wahl ohne Beeinträchtigung des notwendigen Unterhalts für sich und seine Familie zu tragen, kann das Gericht ihm einen Pflichtverteidiger bestellen. </w:t>
      </w:r>
      <w:r>
        <w:rPr>
          <w:rFonts w:ascii="Times New Roman" w:hAnsi="Times New Roman" w:cs="Times New Roman"/>
          <w:color w:val="000000"/>
          <w:sz w:val="20"/>
          <w:szCs w:val="20"/>
          <w:lang w:val="de-DE"/>
        </w:rPr>
        <w:t xml:space="preserve">Der Antrag auf Bestellung eines Pflichtverteidigers ist innerhalb von 7 Tagen nach Zustellung der Anklageschrift beim Gericht zu stellen. Dem Antrag sind Nachweise beizufügen, aus denen hervorgeht, dass der Angeklagte nicht in der Lage ist, die Kosten für die Verteidigung ohne Beeinträchtigung des notwendigen Unterhalts für sich und seine Familie zu tragen. Wenn die verspätete Einreichung des Antrags eine Änderung des Termins für die Verhandlung oder die Sitzung über die bedingte Einstellung des Verfahrens und den Antrag auf Verurteilung ohne Verhandlung erforderlich machen würde, wird der Antrag unverzüglich nach dem Termin der Verhandlung oder der Sitzung geprüft. Dies gilt auch für Fälle, in denen der Antrag fristgerecht gestellt wurde, aber nicht den formalen Anforderungen entspricht oder keine Nachweise beigefügt wurden, die belegen, dass der Angeklagte nicht in der Lage ist, die Kosten der Verteidigung ohne Beeinträchtigung des notwendigen Unterhalts für sich und seine Familie zu tragen. Nach dem ersten Verhandlungstermin oder den angegebenen Sitzungen sollte der Antrag auf Bestellung eines Pflichtverteidigers so rechtzeitig beim Gericht eingereicht werden, dass dessen Prüfung keine Änderung des nächsten Verhandlungstermins oder der nächsten Sitzung erforderlich macht. Je nach Ausgang des Verfahrens können dem Angeklagten die Kosten für die Bestellung eines Pflichtverteidigers auferlegt werden. </w:t>
      </w:r>
      <w:r>
        <w:rPr>
          <w:rFonts w:ascii="Times New Roman" w:hAnsi="Times New Roman" w:cs="Times New Roman"/>
          <w:sz w:val="20"/>
          <w:szCs w:val="20"/>
          <w:lang w:val="de-DE"/>
        </w:rPr>
        <w:t xml:space="preserve">Ein Angeklagter, der keinen Verteidiger seiner Wahl hat, erhält zwingend einen Pflichtverteidiger, wenn </w:t>
      </w:r>
      <w:r>
        <w:rPr>
          <w:rFonts w:ascii="Times New Roman" w:hAnsi="Times New Roman" w:cs="Times New Roman"/>
          <w:color w:val="000000"/>
          <w:sz w:val="20"/>
          <w:szCs w:val="20"/>
          <w:lang w:val="de-DE"/>
        </w:rPr>
        <w:t xml:space="preserve">er unter 18 Jahre alt, </w:t>
      </w:r>
      <w:r>
        <w:rPr>
          <w:rFonts w:ascii="Times New Roman" w:hAnsi="Times New Roman" w:cs="Times New Roman"/>
          <w:sz w:val="20"/>
          <w:szCs w:val="20"/>
          <w:lang w:val="de-DE"/>
        </w:rPr>
        <w:t xml:space="preserve">taub, stumm oder blind ist, </w:t>
      </w:r>
      <w:r>
        <w:rPr>
          <w:rFonts w:ascii="Times New Roman" w:hAnsi="Times New Roman" w:cs="Times New Roman"/>
          <w:color w:val="000000"/>
          <w:sz w:val="20"/>
          <w:szCs w:val="20"/>
          <w:lang w:val="de-DE"/>
        </w:rPr>
        <w:t>wenn begründete Zweifel bestehen, ob seine Fähigkeit, die Bedeutung der Tat zu erkennen oder sein Verhalten zu steuern, zum Zeitpunkt der Tat ausgeschlossen oder erheblich eingeschränkt war,</w:t>
      </w:r>
      <w:r>
        <w:rPr>
          <w:rFonts w:ascii="Times New Roman" w:hAnsi="Times New Roman" w:cs="Times New Roman"/>
          <w:sz w:val="20"/>
          <w:szCs w:val="20"/>
          <w:lang w:val="de-DE"/>
        </w:rPr>
        <w:t xml:space="preserve"> </w:t>
      </w:r>
      <w:r>
        <w:rPr>
          <w:rFonts w:ascii="Times New Roman" w:hAnsi="Times New Roman" w:cs="Times New Roman"/>
          <w:color w:val="000000"/>
          <w:sz w:val="20"/>
          <w:szCs w:val="20"/>
          <w:lang w:val="de-DE"/>
        </w:rPr>
        <w:t xml:space="preserve">wenn begründete Zweifel bestehen, ob sein psychischer Gesundheitszustand es ihm erlaubt, an dem Verfahren teilzunehmen oder seine Verteidigung selbstständig und vernünftig zu führen. </w:t>
      </w:r>
      <w:r>
        <w:rPr>
          <w:rFonts w:ascii="Times New Roman" w:hAnsi="Times New Roman" w:cs="Times New Roman"/>
          <w:sz w:val="20"/>
          <w:szCs w:val="20"/>
          <w:lang w:val="de-DE"/>
        </w:rPr>
        <w:t xml:space="preserve">Der Angeklagte muss auch dann einen Verteidiger haben, wenn das Gericht dies aufgrund </w:t>
      </w:r>
      <w:r>
        <w:rPr>
          <w:rFonts w:ascii="Times New Roman" w:hAnsi="Times New Roman" w:cs="Times New Roman"/>
          <w:color w:val="000000"/>
          <w:sz w:val="20"/>
          <w:szCs w:val="20"/>
          <w:lang w:val="de-DE"/>
        </w:rPr>
        <w:t>anderer</w:t>
      </w:r>
      <w:r>
        <w:rPr>
          <w:rFonts w:ascii="Times New Roman" w:hAnsi="Times New Roman" w:cs="Times New Roman"/>
          <w:sz w:val="20"/>
          <w:szCs w:val="20"/>
          <w:lang w:val="de-DE"/>
        </w:rPr>
        <w:t xml:space="preserve"> Umstände, die die Verteidigung erschweren, für erforderlich hält, sowie </w:t>
      </w:r>
      <w:r>
        <w:rPr>
          <w:rFonts w:ascii="Times New Roman" w:hAnsi="Times New Roman" w:cs="Times New Roman"/>
          <w:color w:val="000000"/>
          <w:sz w:val="20"/>
          <w:szCs w:val="20"/>
          <w:lang w:val="de-DE"/>
        </w:rPr>
        <w:t>in Verfahren vor dem Bezirksgericht, wenn ihm ein Verbrechen vorgeworfen wird (</w:t>
      </w:r>
      <w:r>
        <w:rPr>
          <w:rFonts w:ascii="Times New Roman" w:hAnsi="Times New Roman" w:cs="Times New Roman"/>
          <w:sz w:val="20"/>
          <w:szCs w:val="20"/>
          <w:lang w:val="de-DE"/>
        </w:rPr>
        <w:t>Art. 6, Art. 78 § 1, Art. 79 §§ 1 und 2, Art. 80 Satz 1,</w:t>
      </w:r>
      <w:r>
        <w:rPr>
          <w:rFonts w:ascii="Times New Roman" w:hAnsi="Times New Roman" w:cs="Times New Roman"/>
          <w:color w:val="000000"/>
          <w:sz w:val="20"/>
          <w:szCs w:val="20"/>
          <w:lang w:val="de-DE"/>
        </w:rPr>
        <w:t xml:space="preserve"> Art. 81 § 1,</w:t>
      </w:r>
      <w:r>
        <w:rPr>
          <w:rFonts w:ascii="Times New Roman" w:hAnsi="Times New Roman" w:cs="Times New Roman"/>
          <w:sz w:val="20"/>
          <w:szCs w:val="20"/>
          <w:lang w:val="de-DE"/>
        </w:rPr>
        <w:t xml:space="preserve"> </w:t>
      </w:r>
      <w:r>
        <w:rPr>
          <w:rFonts w:ascii="Times New Roman" w:hAnsi="Times New Roman" w:cs="Times New Roman"/>
          <w:color w:val="000000"/>
          <w:sz w:val="20"/>
          <w:szCs w:val="20"/>
          <w:lang w:val="de-DE"/>
        </w:rPr>
        <w:t>Art. 338 § 1a, Art. 338b</w:t>
      </w:r>
      <w:r>
        <w:rPr>
          <w:rFonts w:ascii="Times New Roman" w:hAnsi="Times New Roman" w:cs="Times New Roman"/>
          <w:sz w:val="20"/>
          <w:szCs w:val="20"/>
          <w:lang w:val="de-DE"/>
        </w:rPr>
        <w:t>)</w:t>
      </w:r>
      <w:r>
        <w:rPr>
          <w:rFonts w:ascii="Times New Roman" w:hAnsi="Times New Roman" w:cs="Times New Roman"/>
          <w:color w:val="000000"/>
          <w:sz w:val="20"/>
          <w:szCs w:val="20"/>
          <w:lang w:val="de-DE"/>
        </w:rPr>
        <w:t xml:space="preserve">. </w:t>
      </w:r>
    </w:p>
    <w:p w14:paraId="4B7CD8FC" w14:textId="77777777" w:rsidR="006C1DF8" w:rsidRPr="00187487" w:rsidRDefault="006C1DF8"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eastAsia="Times New Roman" w:hAnsi="Times New Roman" w:cs="Times New Roman"/>
          <w:sz w:val="20"/>
          <w:szCs w:val="20"/>
          <w:lang w:val="de-DE"/>
        </w:rPr>
      </w:pPr>
      <w:r>
        <w:rPr>
          <w:rFonts w:ascii="Times New Roman" w:hAnsi="Times New Roman" w:cs="Times New Roman"/>
          <w:sz w:val="20"/>
          <w:szCs w:val="20"/>
          <w:lang w:val="de-DE"/>
        </w:rPr>
        <w:t>Das Recht, eine schriftliche Stellungnahme zur Anklageschrift einzureichen. Dieses Recht steht dem Angeklagten innerhalb von 7 Tagen nach Zustellung der Anklageschrift zu (Art. 338 § 2).</w:t>
      </w:r>
    </w:p>
    <w:p w14:paraId="0F9D2918" w14:textId="77777777" w:rsidR="006C1DF8" w:rsidRPr="00187487"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de-DE"/>
        </w:rPr>
      </w:pPr>
      <w:r>
        <w:rPr>
          <w:rFonts w:ascii="Times New Roman" w:hAnsi="Times New Roman" w:cs="Times New Roman"/>
          <w:color w:val="000000"/>
          <w:sz w:val="20"/>
          <w:szCs w:val="20"/>
          <w:lang w:val="de-DE"/>
        </w:rPr>
        <w:t>Das Recht auf Teilnahme an der Verhandlung über die bedingte Einstellung des Verfahrens, wenn der Angeklagte nicht zur Teilnahme an dieser Verhandlung verpflichtet wurde (Art. 341 § 1).</w:t>
      </w:r>
    </w:p>
    <w:p w14:paraId="1B3E46A0" w14:textId="77777777" w:rsidR="006C1DF8" w:rsidRPr="00187487"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de-DE"/>
        </w:rPr>
      </w:pPr>
      <w:r>
        <w:rPr>
          <w:rFonts w:ascii="Times New Roman" w:hAnsi="Times New Roman" w:cs="Times New Roman"/>
          <w:color w:val="000000"/>
          <w:sz w:val="20"/>
          <w:szCs w:val="20"/>
          <w:lang w:val="de-DE"/>
        </w:rPr>
        <w:t>Das Recht, einen Antrag auf Vorführung zur Verhandlung zu stellen, wenn dem Angeklagten die Freiheit entzogen ist und seine Anwesenheit bei der Verhandlung nicht obligatorisch ist. Der Antrag ist innerhalb von 7 Tagen nach Zustellung der Benachrichtigung zu stellen (Art. 353 § 3).</w:t>
      </w:r>
    </w:p>
    <w:p w14:paraId="3F2837D9" w14:textId="77777777" w:rsidR="006C1DF8" w:rsidRPr="00187487"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de-DE"/>
        </w:rPr>
      </w:pPr>
      <w:r>
        <w:rPr>
          <w:rFonts w:ascii="Times New Roman" w:hAnsi="Times New Roman" w:cs="Times New Roman"/>
          <w:color w:val="000000"/>
          <w:sz w:val="20"/>
          <w:szCs w:val="20"/>
          <w:lang w:val="de-DE"/>
        </w:rPr>
        <w:t>Das Recht, einen Antrag auf Erlass eines Verurteilungsurteils und auf Verhängung einer bestimmten Strafe oder einer bestimmten Strafmaßnahme, einer Anordnung der Einziehung oder einer Entschädigungsmaßnahme, ohne dass ein Beweisverfahren durchgeführt oder eine bestimmte Entscheidung über die Tragung der Prozesskosten getroffen wird, zu stellen. Der Angeklagte kann von diesem Recht vor Zustellung der Benachrichtigung von der Verhandlung Gebrauch machen (Art. 338a).</w:t>
      </w:r>
    </w:p>
    <w:p w14:paraId="04F363DD" w14:textId="77777777" w:rsidR="006C1DF8" w:rsidRPr="00187487" w:rsidRDefault="006C1DF8"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de-DE"/>
        </w:rPr>
      </w:pPr>
      <w:r>
        <w:rPr>
          <w:rFonts w:ascii="Times New Roman" w:hAnsi="Times New Roman" w:cs="Times New Roman"/>
          <w:sz w:val="20"/>
          <w:szCs w:val="20"/>
          <w:lang w:val="de-DE"/>
        </w:rPr>
        <w:t xml:space="preserve">Das Recht auf Teilnahme an der Verhandlung, wenn das Gericht die Anwesenheit des Angeklagten nicht für obligatorisch </w:t>
      </w:r>
      <w:proofErr w:type="spellStart"/>
      <w:r>
        <w:rPr>
          <w:rFonts w:ascii="Times New Roman" w:hAnsi="Times New Roman" w:cs="Times New Roman"/>
          <w:sz w:val="20"/>
          <w:szCs w:val="20"/>
          <w:lang w:val="de-DE"/>
        </w:rPr>
        <w:t>hält.</w:t>
      </w:r>
      <w:r>
        <w:rPr>
          <w:rFonts w:ascii="Times New Roman" w:hAnsi="Times New Roman" w:cs="Times New Roman"/>
          <w:color w:val="000000"/>
          <w:sz w:val="20"/>
          <w:szCs w:val="20"/>
          <w:lang w:val="de-DE"/>
        </w:rPr>
        <w:t>In</w:t>
      </w:r>
      <w:proofErr w:type="spellEnd"/>
      <w:r>
        <w:rPr>
          <w:rFonts w:ascii="Times New Roman" w:hAnsi="Times New Roman" w:cs="Times New Roman"/>
          <w:color w:val="000000"/>
          <w:sz w:val="20"/>
          <w:szCs w:val="20"/>
          <w:lang w:val="de-DE"/>
        </w:rPr>
        <w:t xml:space="preserve"> Verfahren wegen Verbrechen ist die Anwesenheit des Angeklagten während der Verlesung der Anklagesätze sowie der Anklageerwiderung, sofern eine solche eingereicht wurde, der Belehrung über Rechte und Pflichten sowie der Befragung zur Sache, ob er sich zu den ihm zur Last gelegten Taten bekennt, obligatorisch. </w:t>
      </w:r>
      <w:r>
        <w:rPr>
          <w:lang w:val="de-DE"/>
        </w:rPr>
        <w:t xml:space="preserve"> </w:t>
      </w:r>
      <w:r>
        <w:rPr>
          <w:rFonts w:ascii="Times New Roman" w:hAnsi="Times New Roman" w:cs="Times New Roman"/>
          <w:sz w:val="20"/>
          <w:szCs w:val="20"/>
          <w:lang w:val="de-DE"/>
        </w:rPr>
        <w:t>Der Vorsitzende kann eine Anordnung erlassen, um zu verhindern, dass der Angeklagte vor Beendigung der Verhandlung den Gerichtssaal verlässt.</w:t>
      </w:r>
      <w:r>
        <w:rPr>
          <w:rFonts w:ascii="Times New Roman" w:hAnsi="Times New Roman" w:cs="Times New Roman"/>
          <w:color w:val="000000"/>
          <w:sz w:val="20"/>
          <w:szCs w:val="20"/>
          <w:lang w:val="de-DE"/>
        </w:rPr>
        <w:t>(Art. 374).</w:t>
      </w:r>
      <w:r>
        <w:rPr>
          <w:rFonts w:ascii="Times New Roman" w:hAnsi="Times New Roman" w:cs="Times New Roman"/>
          <w:sz w:val="20"/>
          <w:szCs w:val="20"/>
          <w:lang w:val="de-DE"/>
        </w:rPr>
        <w:t xml:space="preserve"> </w:t>
      </w:r>
      <w:r>
        <w:rPr>
          <w:rFonts w:ascii="Times New Roman" w:hAnsi="Times New Roman" w:cs="Times New Roman"/>
          <w:color w:val="000000"/>
          <w:sz w:val="20"/>
          <w:szCs w:val="20"/>
          <w:lang w:val="de-DE"/>
        </w:rPr>
        <w:t>Die Verhandlung findet nicht statt, wenn der Angeklagte nicht erscheint und kein Nachweis dafür vorliegt, dass er darüber informiert wurde, und wenn die begründete Vermutung besteht, dass das Nichterscheinen auf höhere Gewalt oder andere außergewöhnliche Gründe zurückzuführen ist. Die Verhandlung kann auch dann nicht stattfinden, wenn der Angeklagte sein Fernbleiben ordnungsgemäß begründet und beantragt, die Verhandlung ohne seine Anwesenheit durchzuführen (Art. 117 § 2). Die Rechtfertigung des Nichterscheinens aufgrund von Krankheit des Angeklagten, dessen Anwesenheit obligatorisch war oder der die Zulassung zu der Handlung beantragt hatte, da er zur Teilnahme daran berechtigt war, erfordert die Vorlage einer Bescheinigung, die die Unmöglichkeit des Erscheinens auf Aufforderung oder Benachrichtigung der die Verhandlung führenden Behörde bestätigt und von einem Gerichtsarzt ausgestellt wurde.</w:t>
      </w:r>
      <w:r>
        <w:rPr>
          <w:rFonts w:ascii="Times New Roman" w:hAnsi="Times New Roman" w:cs="Times New Roman"/>
          <w:sz w:val="20"/>
          <w:szCs w:val="20"/>
          <w:lang w:val="de-DE"/>
        </w:rPr>
        <w:t>(Art. 117 § 2a).</w:t>
      </w:r>
      <w:r>
        <w:rPr>
          <w:rFonts w:ascii="Times New Roman" w:hAnsi="Times New Roman" w:cs="Times New Roman"/>
          <w:color w:val="000000"/>
          <w:sz w:val="20"/>
          <w:szCs w:val="20"/>
          <w:lang w:val="de-DE"/>
        </w:rPr>
        <w:t xml:space="preserve"> Bei unentschuldigtem Fernbleiben eines Angeklagten, dessen Anwesenheit obligatorisch ist, wird seine sofortige Festnahme und Vorführung angeordnet (Art. 382). Das Fernbleiben des ordnungsgemäß über die Verfahrenshandlung benachrichtigten Angeklagten steht, unabhängig von dessen Ursache, der Durchführung dieser Handlung nicht entgegen, sofern sein Verteidiger erschienen ist, es sei denn, die Teilnahme des Angeklagten war obligatorisch (Art. 117 § 3a).</w:t>
      </w:r>
    </w:p>
    <w:p w14:paraId="084ADB92" w14:textId="77777777" w:rsidR="006C1DF8" w:rsidRPr="00187487"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de-DE"/>
        </w:rPr>
      </w:pPr>
      <w:r>
        <w:rPr>
          <w:rFonts w:ascii="Times New Roman" w:hAnsi="Times New Roman" w:cs="Times New Roman"/>
          <w:color w:val="000000"/>
          <w:sz w:val="20"/>
          <w:szCs w:val="20"/>
          <w:lang w:val="de-DE"/>
        </w:rPr>
        <w:lastRenderedPageBreak/>
        <w:t>Das Recht auf kostenlose Inanspruchnahme eines Dolmetschers, wenn der Angeklagte des Polnischen nicht ausreichend mächtig ist (Art. 72 § 1).</w:t>
      </w:r>
    </w:p>
    <w:p w14:paraId="3AD6320D" w14:textId="77777777" w:rsidR="006C1DF8" w:rsidRPr="00187487"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de-DE"/>
        </w:rPr>
      </w:pPr>
      <w:r>
        <w:rPr>
          <w:rFonts w:ascii="Times New Roman" w:hAnsi="Times New Roman" w:cs="Times New Roman"/>
          <w:color w:val="000000"/>
          <w:sz w:val="20"/>
          <w:szCs w:val="20"/>
          <w:lang w:val="de-DE"/>
        </w:rPr>
        <w:t>Das Recht, einen Antrag auf Erlass eines Urteils und Verhängung einer bestimmten Strafe oder einer bestimmten Strafmaßnahme, einer Anordnung der Einziehung oder einer Entschädigungsmaßnahme, ohne dass ein Beweisverfahren durchgeführt oder eine bestimmte Entscheidung über die Tragung der Prozesskosten getroffen wird, zu stellen. Das Gericht kann dem Antrag auf Erlass eines Verurteilungsurteils stattgeben, wenn die Umstände der Straftat und die Schuld zweifelsfrei feststehen und die Ziele des Verfahrens auch ohne die Durchführung einer vollständigen Verhandlung erreicht werden; der Antrag kann nur berücksichtigt werden, wenn der Staatsanwalt keine Einwände erhebt und der Geschädigte ordnungsgemäß über den Verhandlungstermin benachrichtigt und über die Möglichkeit der Stellung eines solchen Antrags durch den Angeklagten belehrt wurde. Das Gericht kann die Stattgabe des Antrags des Angeklagten von der Vornahme einer von ihm bezeichneten Änderung abhängig machen. In Verfahren wegen Verbrechen kann eine außerordentliche Strafmilderung nur dann erfolgen, wenn der entsprechende Antrag gestellt worden war, bevor die Benachrichtigung über den Verhandlungstermin dem Angeklagten zugestellt wurde. Ein Antrag auf Erlass eines Verurteilungsurteils und Verhängung einer bestimmten Strafe oder einer Strafmaßnahme, einer Anordnung der Einziehung oder einer Entschädigungsmaßnahme, ohne dass ein Beweisverfahren durchgeführt oder eine bestimmte Entscheidung über die Tragung der Prozesskosten getroffen wird, kann bis zum Abschluss der ersten Vernehmung aller Angeklagten gestellt werden (Art. 387 § 1 Satz 1 und 2, §§ 2 und 3).</w:t>
      </w:r>
    </w:p>
    <w:p w14:paraId="464AF789" w14:textId="7960CB52" w:rsidR="006C1DF8" w:rsidRPr="00187487" w:rsidRDefault="006C1DF8"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de-DE"/>
        </w:rPr>
      </w:pPr>
      <w:r>
        <w:rPr>
          <w:rFonts w:ascii="Times New Roman" w:hAnsi="Times New Roman" w:cs="Times New Roman"/>
          <w:color w:val="000000"/>
          <w:sz w:val="20"/>
          <w:szCs w:val="20"/>
          <w:lang w:val="de-DE"/>
        </w:rPr>
        <w:t xml:space="preserve">Das Recht, einen Antrag auf Einleitung eines Mediationsverfahrens zu stellen, um sich mit dem Geschädigten zu versöhnen (Art. 23a). Die Teilnahme an einem Mediationsverfahren ist freiwillig. Positive Ergebnisse der Mediation werden vom Gericht bei der Strafzumessung berücksichtigt (Art. 53 § 3 des Gesetzes „Strafgesetzbuch“ vom 6. Juni 1997, Dz. U. </w:t>
      </w:r>
      <w:r>
        <w:rPr>
          <w:rFonts w:ascii="Times New Roman" w:hAnsi="Times New Roman" w:cs="Times New Roman"/>
          <w:i/>
          <w:iCs/>
          <w:color w:val="000000"/>
          <w:sz w:val="20"/>
          <w:szCs w:val="20"/>
          <w:lang w:val="de-DE"/>
        </w:rPr>
        <w:t>[</w:t>
      </w:r>
      <w:proofErr w:type="spellStart"/>
      <w:r>
        <w:rPr>
          <w:rFonts w:ascii="Times New Roman" w:hAnsi="Times New Roman" w:cs="Times New Roman"/>
          <w:i/>
          <w:iCs/>
          <w:color w:val="000000"/>
          <w:sz w:val="20"/>
          <w:szCs w:val="20"/>
          <w:lang w:val="de-DE"/>
        </w:rPr>
        <w:t>poln</w:t>
      </w:r>
      <w:proofErr w:type="spellEnd"/>
      <w:r>
        <w:rPr>
          <w:rFonts w:ascii="Times New Roman" w:hAnsi="Times New Roman" w:cs="Times New Roman"/>
          <w:i/>
          <w:iCs/>
          <w:color w:val="000000"/>
          <w:sz w:val="20"/>
          <w:szCs w:val="20"/>
          <w:lang w:val="de-DE"/>
        </w:rPr>
        <w:t xml:space="preserve">. GBl.] </w:t>
      </w:r>
      <w:r>
        <w:rPr>
          <w:rFonts w:ascii="Times New Roman" w:hAnsi="Times New Roman" w:cs="Times New Roman"/>
          <w:color w:val="000000"/>
          <w:sz w:val="20"/>
          <w:szCs w:val="20"/>
          <w:lang w:val="de-DE"/>
        </w:rPr>
        <w:t>von 2018, Pos. 1600, in der jeweils aktuellen Fassung).</w:t>
      </w:r>
    </w:p>
    <w:p w14:paraId="4507224E" w14:textId="77777777" w:rsidR="006C1DF8" w:rsidRPr="00187487" w:rsidRDefault="006C1DF8"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de-DE"/>
        </w:rPr>
      </w:pPr>
      <w:r>
        <w:rPr>
          <w:rFonts w:ascii="Times New Roman" w:hAnsi="Times New Roman" w:cs="Times New Roman"/>
          <w:color w:val="000000"/>
          <w:sz w:val="20"/>
          <w:szCs w:val="20"/>
          <w:lang w:val="de-DE"/>
        </w:rPr>
        <w:t>Recht auf Akteneinsicht, Anfertigung von Abschriften und Kopien (Art. 156 §§ 1–3).</w:t>
      </w:r>
    </w:p>
    <w:p w14:paraId="3DBBD484" w14:textId="116508B2" w:rsidR="006C1DF8" w:rsidRPr="00187487" w:rsidRDefault="006C1DF8" w:rsidP="00AB4615">
      <w:pPr>
        <w:numPr>
          <w:ilvl w:val="0"/>
          <w:numId w:val="3"/>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de-DE"/>
        </w:rPr>
      </w:pPr>
      <w:r>
        <w:rPr>
          <w:rFonts w:ascii="Times New Roman" w:hAnsi="Times New Roman" w:cs="Times New Roman"/>
          <w:sz w:val="20"/>
          <w:szCs w:val="20"/>
          <w:lang w:val="de-DE"/>
        </w:rPr>
        <w:t xml:space="preserve">Das Recht, innerhalb von 7 Tagen nach </w:t>
      </w:r>
      <w:r>
        <w:rPr>
          <w:rFonts w:ascii="Times New Roman" w:hAnsi="Times New Roman" w:cs="Times New Roman"/>
          <w:color w:val="000000"/>
          <w:sz w:val="20"/>
          <w:szCs w:val="20"/>
          <w:lang w:val="de-DE"/>
        </w:rPr>
        <w:t>Verkündung des Urteils einen Antrag</w:t>
      </w:r>
      <w:r>
        <w:rPr>
          <w:rFonts w:ascii="Times New Roman" w:hAnsi="Times New Roman" w:cs="Times New Roman"/>
          <w:sz w:val="20"/>
          <w:szCs w:val="20"/>
          <w:lang w:val="de-DE"/>
        </w:rPr>
        <w:t xml:space="preserve"> auf schriftliche Begründung des Urteils zu stellen und diese zu erhalten. </w:t>
      </w:r>
      <w:r>
        <w:rPr>
          <w:rFonts w:ascii="Times New Roman" w:hAnsi="Times New Roman" w:cs="Times New Roman"/>
          <w:color w:val="000000"/>
          <w:sz w:val="20"/>
          <w:szCs w:val="20"/>
          <w:lang w:val="de-DE"/>
        </w:rPr>
        <w:t xml:space="preserve">Die Abfassung einer Begründung von Amts wegen entbindet nicht von der Verpflichtung, einen Antrag auf Zustellung der Begründung zu stellen. </w:t>
      </w:r>
      <w:r>
        <w:rPr>
          <w:rFonts w:ascii="Times New Roman" w:hAnsi="Times New Roman" w:cs="Times New Roman"/>
          <w:sz w:val="20"/>
          <w:szCs w:val="20"/>
          <w:lang w:val="de-DE"/>
        </w:rPr>
        <w:t xml:space="preserve">Der Antrag ist schriftlich zu stellen. In dem Antrag ist anzugeben, ob er sich auf das gesamte Urteil oder auf bestimmte Taten bezieht, deren Begehung zur Last gelegt wird, oder nur auf die Entscheidung über die Strafe und andere rechtliche Folgen der Tat. </w:t>
      </w:r>
      <w:r>
        <w:rPr>
          <w:rFonts w:ascii="Times New Roman" w:hAnsi="Times New Roman" w:cs="Times New Roman"/>
          <w:color w:val="000000"/>
          <w:sz w:val="20"/>
          <w:szCs w:val="20"/>
          <w:lang w:val="de-DE"/>
        </w:rPr>
        <w:t xml:space="preserve">Für einen Angeklagten, dem die Freiheit entzogen ist, der keinen Verteidiger hat und trotz eines Antrags auf Vorführung zur Verhandlung, in der das Urteil verkündet wurde, bei der Urteilsverkündung nicht anwesend war, beginnt die Frist für die Einreichung eines Antrags </w:t>
      </w:r>
      <w:r>
        <w:rPr>
          <w:rFonts w:ascii="Times New Roman" w:hAnsi="Times New Roman" w:cs="Times New Roman"/>
          <w:sz w:val="20"/>
          <w:szCs w:val="20"/>
          <w:lang w:val="de-DE"/>
        </w:rPr>
        <w:t>auf schriftliche Abfassung und Zustellung der Urteilsbegründung</w:t>
      </w:r>
      <w:r>
        <w:rPr>
          <w:rFonts w:ascii="Times New Roman" w:hAnsi="Times New Roman" w:cs="Times New Roman"/>
          <w:color w:val="000000"/>
          <w:sz w:val="20"/>
          <w:szCs w:val="20"/>
          <w:lang w:val="de-DE"/>
        </w:rPr>
        <w:t xml:space="preserve"> mit dem Tag der Zustellung des Urteils. Ein durch eine nicht berechtigte Person, nach Ablauf der Frist oder im Falle der nicht fristgerechten Behebung von Formmängeln gestellter Antrag </w:t>
      </w:r>
      <w:r>
        <w:rPr>
          <w:rFonts w:ascii="Times New Roman" w:hAnsi="Times New Roman" w:cs="Times New Roman"/>
          <w:sz w:val="20"/>
          <w:szCs w:val="20"/>
          <w:lang w:val="de-DE"/>
        </w:rPr>
        <w:t xml:space="preserve"> </w:t>
      </w:r>
      <w:r>
        <w:rPr>
          <w:rFonts w:ascii="Times New Roman" w:hAnsi="Times New Roman" w:cs="Times New Roman"/>
          <w:color w:val="000000"/>
          <w:sz w:val="20"/>
          <w:szCs w:val="20"/>
          <w:lang w:val="de-DE"/>
        </w:rPr>
        <w:t>(</w:t>
      </w:r>
      <w:r>
        <w:rPr>
          <w:rFonts w:ascii="Times New Roman" w:hAnsi="Times New Roman" w:cs="Times New Roman"/>
          <w:sz w:val="20"/>
          <w:szCs w:val="20"/>
          <w:lang w:val="de-DE"/>
        </w:rPr>
        <w:t>Art. 422 § 1–3).</w:t>
      </w:r>
      <w:r>
        <w:rPr>
          <w:rFonts w:ascii="Times New Roman" w:hAnsi="Times New Roman" w:cs="Times New Roman"/>
          <w:i/>
          <w:iCs/>
          <w:sz w:val="20"/>
          <w:szCs w:val="20"/>
          <w:lang w:val="de-DE"/>
        </w:rPr>
        <w:t xml:space="preserve"> </w:t>
      </w:r>
    </w:p>
    <w:p w14:paraId="1CE67A0F" w14:textId="77777777" w:rsidR="006C1DF8" w:rsidRPr="00187487" w:rsidRDefault="006C1DF8" w:rsidP="00AB4615">
      <w:pPr>
        <w:widowControl w:val="0"/>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b/>
          <w:bCs/>
          <w:color w:val="000000"/>
          <w:sz w:val="20"/>
          <w:szCs w:val="20"/>
          <w:lang w:val="de-DE"/>
        </w:rPr>
      </w:pPr>
      <w:r>
        <w:rPr>
          <w:rFonts w:ascii="Times New Roman" w:hAnsi="Times New Roman" w:cs="Times New Roman"/>
          <w:b/>
          <w:bCs/>
          <w:color w:val="000000"/>
          <w:sz w:val="20"/>
          <w:szCs w:val="20"/>
          <w:lang w:val="de-DE"/>
        </w:rPr>
        <w:t>Das Strafverfahren kann ohne die Beteiligung des Angeklagten, dessen Anwesenheit obligatorisch ist, durchgeführt werden, wenn der Angeklagte:</w:t>
      </w:r>
    </w:p>
    <w:p w14:paraId="50E55E1A" w14:textId="77777777" w:rsidR="006C1DF8" w:rsidRPr="006C1DF8"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rPr>
      </w:pPr>
      <w:r>
        <w:rPr>
          <w:rFonts w:ascii="Times New Roman" w:hAnsi="Times New Roman" w:cs="Times New Roman"/>
          <w:color w:val="000000"/>
          <w:sz w:val="20"/>
          <w:szCs w:val="20"/>
          <w:lang w:val="de-DE"/>
        </w:rPr>
        <w:t>aus eigenem Verschulden nicht in der Lage ist, an der Verhandlung oder Sitzung teilzunehmen; die Tatsache, dass der Angeklagte bisher keine Einlassung abgegeben hat, steht der Durchführung des Verfahrens nicht entgegen;</w:t>
      </w:r>
      <w:r>
        <w:rPr>
          <w:rFonts w:ascii="Times New Roman" w:hAnsi="Times New Roman" w:cs="Times New Roman"/>
          <w:sz w:val="20"/>
          <w:szCs w:val="20"/>
          <w:lang w:val="de-DE"/>
        </w:rPr>
        <w:t xml:space="preserve"> vor Erlass der Entscheidung in dieser Angelegenheit nimmt das Gericht die Bescheinigung des Arztes, der diese Unfähigkeit festgestellt hat, zur Kenntnis oder hört ihn als Sachverständigen an. Der Zustand, der den Angeklagten an der Teilnahme an der Verhandlung hindert, kann auch auf der Grundlage einer Untersuchung festgestellt werden, die keine Verletzung der körperlichen Unversehrtheit mit sich bringt und mit einem geeigneten Gerät durchgeführt wird.</w:t>
      </w:r>
      <w:r>
        <w:rPr>
          <w:rFonts w:ascii="Times New Roman" w:hAnsi="Times New Roman" w:cs="Times New Roman"/>
          <w:color w:val="000000"/>
          <w:sz w:val="20"/>
          <w:szCs w:val="20"/>
          <w:lang w:val="de-DE"/>
        </w:rPr>
        <w:t xml:space="preserve"> (Art. 377 §§ 1 und 2); </w:t>
      </w:r>
    </w:p>
    <w:p w14:paraId="0A57DE52" w14:textId="77777777" w:rsidR="006C1DF8" w:rsidRPr="00187487"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de-DE"/>
        </w:rPr>
      </w:pPr>
      <w:r>
        <w:rPr>
          <w:rFonts w:ascii="Times New Roman" w:eastAsia="Times New Roman" w:hAnsi="Times New Roman" w:cs="Times New Roman"/>
          <w:color w:val="000000"/>
          <w:sz w:val="20"/>
          <w:szCs w:val="20"/>
          <w:lang w:val="de-DE"/>
        </w:rPr>
        <w:t>obwohl er ordnungsgemäß über den Termin der Verhandlung oder Sitzung informiert benachrichtigt wurde, erklärt, dass er nicht an der Verhandlung oder Sitzung teilnehmen wird, die Vorführung zur Verhandlung oder Sitzung unmöglich ist oder er, obwohl er persönlich über die Verhandlung oder Sitzung benachrichtigt wurde, ohne Entschuldigung nicht zur Verhandlung oder Sitzung erscheint; das Gericht kann in diesem Fall jedoch die Festnahme und zwangsweise Vorführung des Angeklagten anordnen (Art. 377 § 3).</w:t>
      </w:r>
    </w:p>
    <w:p w14:paraId="67F89F37" w14:textId="77777777" w:rsidR="006C1DF8" w:rsidRPr="00187487"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de-DE"/>
        </w:rPr>
      </w:pPr>
      <w:r>
        <w:rPr>
          <w:rFonts w:ascii="Times New Roman" w:eastAsia="Times New Roman" w:hAnsi="Times New Roman" w:cs="Times New Roman"/>
          <w:color w:val="000000"/>
          <w:sz w:val="20"/>
          <w:szCs w:val="20"/>
          <w:lang w:val="de-DE"/>
        </w:rPr>
        <w:t>bereits eine Einlassung abgegeben und den Gerichtssaal ohne Erlaubnis des Vorsitzenden verlassen hat, sofern das Gericht seine Anwesenheit nicht für obligatorisch erachtet und seine Festnahme und zwangsweise Vorführung nicht angeordnet hat (Art. 376 § 1 Satz 1 und 2);</w:t>
      </w:r>
    </w:p>
    <w:p w14:paraId="4801005C" w14:textId="6C0B4A89" w:rsidR="006C1DF8" w:rsidRPr="00187487"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de-DE"/>
        </w:rPr>
      </w:pPr>
      <w:r>
        <w:rPr>
          <w:rFonts w:ascii="Times New Roman" w:eastAsia="Times New Roman" w:hAnsi="Times New Roman" w:cs="Times New Roman"/>
          <w:color w:val="000000"/>
          <w:sz w:val="20"/>
          <w:szCs w:val="20"/>
          <w:lang w:val="de-DE"/>
        </w:rPr>
        <w:t xml:space="preserve">der über den Termin der vertagten oder unterbrochenen Verhandlung benachrichtigt wurde, ohne Entschuldigung nicht zu dieser Verhandlung erschienen ist, sofern das Gericht seine Anwesenheit nicht für obligatorisch erachtet und keine Festnahme und zwangsweise Vorführung angeordnet hat (Art. 376 § 2). </w:t>
      </w:r>
    </w:p>
    <w:p w14:paraId="69779B2B" w14:textId="77777777" w:rsidR="006C1DF8" w:rsidRPr="00187487"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color w:val="000000"/>
          <w:sz w:val="20"/>
          <w:szCs w:val="20"/>
          <w:lang w:val="de-DE"/>
        </w:rPr>
      </w:pPr>
      <w:r>
        <w:rPr>
          <w:rFonts w:ascii="Times New Roman" w:hAnsi="Times New Roman" w:cs="Times New Roman"/>
          <w:sz w:val="20"/>
          <w:szCs w:val="20"/>
          <w:lang w:val="de-DE"/>
        </w:rPr>
        <w:t>Ist ein Mitangeklagter, der sein Nichterscheinen begründet hat, zu einer vertagten oder unterbrochenen Verhandlung nicht erschienen, kann das Gericht die Verhandlung in dem Teil durchführen, der den abwesenden Angeklagten nicht unmittelbar betrifft, sofern dies sein Recht auf Verteidigung nicht einschränkt (Art. 376 § 3).</w:t>
      </w:r>
    </w:p>
    <w:p w14:paraId="2C88A0FB" w14:textId="08375A9E" w:rsidR="006C1DF8" w:rsidRPr="00187487"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de-DE"/>
        </w:rPr>
      </w:pPr>
      <w:r>
        <w:rPr>
          <w:rFonts w:ascii="Times New Roman" w:hAnsi="Times New Roman" w:cs="Times New Roman"/>
          <w:color w:val="000000"/>
          <w:sz w:val="20"/>
          <w:szCs w:val="20"/>
          <w:lang w:val="de-DE"/>
        </w:rPr>
        <w:t xml:space="preserve">Ein Angeklagter, der vor Gericht noch keine Einlassung abgegeben hat, kann von einem beauftragten Richter oder dem Gericht, in dessen Bezirk er sich aufhält, vernommen werden, wenn er aufgrund schwerwiegender Hindernisse nicht erschienen ist. Das Gericht kann es auch für ausreichend erachten, die frühere Einlassung des Angeklagten zu verlesen. Die Vernehmung des Angeklagten kann im Wege einer Videokonferenz erfolgen (Art. </w:t>
      </w:r>
      <w:r>
        <w:rPr>
          <w:rFonts w:ascii="Times New Roman" w:hAnsi="Times New Roman" w:cs="Times New Roman"/>
          <w:color w:val="000000"/>
          <w:sz w:val="20"/>
          <w:szCs w:val="20"/>
          <w:lang w:val="de-DE"/>
        </w:rPr>
        <w:lastRenderedPageBreak/>
        <w:t>377 § 4).</w:t>
      </w:r>
    </w:p>
    <w:p w14:paraId="63B5B18B" w14:textId="77777777" w:rsidR="006C1DF8" w:rsidRPr="00187487" w:rsidRDefault="006C1DF8" w:rsidP="00AB4615">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hAnsi="Times New Roman" w:cs="Times New Roman"/>
          <w:color w:val="000000"/>
          <w:sz w:val="20"/>
          <w:szCs w:val="20"/>
          <w:lang w:val="de-DE"/>
        </w:rPr>
      </w:pPr>
      <w:r>
        <w:rPr>
          <w:rFonts w:ascii="Times New Roman" w:hAnsi="Times New Roman" w:cs="Times New Roman"/>
          <w:b/>
          <w:bCs/>
          <w:color w:val="000000"/>
          <w:sz w:val="20"/>
          <w:szCs w:val="20"/>
          <w:lang w:val="de-DE"/>
        </w:rPr>
        <w:t>Der Angeklagte ist nicht verpflichtet, seine Unschuld zu beweisen oder Beweise zu seinen Ungunsten vorzulegen (Art. 74 § 1). Er ist jedoch verpflichtet, sich folgenden Maßnahmen zu unterziehen:</w:t>
      </w:r>
    </w:p>
    <w:p w14:paraId="4C691423" w14:textId="77777777" w:rsidR="006C1DF8" w:rsidRPr="00187487"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de-DE"/>
        </w:rPr>
      </w:pPr>
      <w:r>
        <w:rPr>
          <w:rFonts w:ascii="Times New Roman" w:hAnsi="Times New Roman" w:cs="Times New Roman"/>
          <w:color w:val="000000"/>
          <w:sz w:val="20"/>
          <w:szCs w:val="20"/>
          <w:lang w:val="de-DE"/>
        </w:rPr>
        <w:t>1)  Körperuntersuchungen und Untersuchungen, die keine Verletzung der körperlichen Unversehrtheit mit sich bringen, die Abnahme von Fingerabdrücken, Erstellung von Fotografien und Vorführung vor anderen Personen (Art. 74 § 2 Ziff. 1);</w:t>
      </w:r>
    </w:p>
    <w:p w14:paraId="7636591B" w14:textId="4E9C01CA" w:rsidR="006C1DF8" w:rsidRPr="00187487"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de-DE"/>
        </w:rPr>
      </w:pPr>
      <w:r>
        <w:rPr>
          <w:rFonts w:ascii="Times New Roman" w:eastAsia="Times New Roman" w:hAnsi="Times New Roman" w:cs="Times New Roman"/>
          <w:color w:val="000000"/>
          <w:sz w:val="20"/>
          <w:szCs w:val="20"/>
          <w:lang w:val="de-DE"/>
        </w:rPr>
        <w:t>2)  psychologische und psychiatrische Untersuchungen sowie Untersuchungen, die mit Eingriffen an seinem Körper verbunden sind, mit Ausnahme von chirurgischen Eingriffen, sofern diese die Gesundheit des Angeklagten nicht gefährden, wenn die Durchführung dieser Untersuchungen unerlässlich ist (insbesondere Entnahme von Blut-, Haar- oder Körperflüssigkeitsproben, z.B. Speichelprobe); die Untersuchungen sollten durch eine dazu befugte medizinische Fachkraft durchgeführt werden (Art. 74 § 2 Ziff. 2);</w:t>
      </w:r>
    </w:p>
    <w:p w14:paraId="1E054B36" w14:textId="06B86FAE" w:rsidR="006C1DF8" w:rsidRPr="00187487"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de-DE"/>
        </w:rPr>
      </w:pPr>
      <w:r>
        <w:rPr>
          <w:rFonts w:ascii="Times New Roman" w:eastAsia="Times New Roman" w:hAnsi="Times New Roman" w:cs="Times New Roman"/>
          <w:color w:val="000000"/>
          <w:sz w:val="20"/>
          <w:szCs w:val="20"/>
          <w:lang w:val="de-DE"/>
        </w:rPr>
        <w:t>3)  Entnahme eines Abstrichs aus der Wangenschleimhaut durch einen Polizeibeamten, sofern dies notwendig ist und keine Gefahr für die Gesundheit darstellt (Art. 74 § 2 Ziff. 3).</w:t>
      </w:r>
    </w:p>
    <w:p w14:paraId="4C230765" w14:textId="77777777" w:rsidR="006C1DF8" w:rsidRPr="00187487"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de-DE"/>
        </w:rPr>
      </w:pPr>
    </w:p>
    <w:p w14:paraId="76DF910B" w14:textId="77777777" w:rsidR="006C1DF8" w:rsidRPr="00187487"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color w:val="000000"/>
          <w:sz w:val="20"/>
          <w:szCs w:val="20"/>
          <w:lang w:val="de-DE"/>
        </w:rPr>
      </w:pPr>
      <w:r>
        <w:rPr>
          <w:rFonts w:ascii="Times New Roman" w:eastAsia="Times New Roman" w:hAnsi="Times New Roman" w:cs="Times New Roman"/>
          <w:color w:val="000000"/>
          <w:sz w:val="20"/>
          <w:szCs w:val="20"/>
          <w:lang w:val="de-DE"/>
        </w:rPr>
        <w:t>Die Nichteinhaltung dieser Pflichten kann zur Festnahme und zwangsweisen Vorführung des Angeklagten führen sowie die Anwendung von körperlicher Gewalt oder technischen Mitteln zur Überwältigung im erforderlichen Umfang zur Folge haben (Art. 74 § 3a).</w:t>
      </w:r>
    </w:p>
    <w:p w14:paraId="2DCBE6D8" w14:textId="77777777" w:rsidR="006C1DF8" w:rsidRPr="00187487"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b/>
          <w:bCs/>
          <w:color w:val="000000"/>
          <w:sz w:val="20"/>
          <w:szCs w:val="20"/>
          <w:lang w:val="de-DE"/>
        </w:rPr>
      </w:pPr>
      <w:r>
        <w:rPr>
          <w:rFonts w:ascii="Times New Roman" w:hAnsi="Times New Roman" w:cs="Times New Roman"/>
          <w:b/>
          <w:bCs/>
          <w:color w:val="000000"/>
          <w:sz w:val="20"/>
          <w:szCs w:val="20"/>
          <w:lang w:val="de-DE"/>
        </w:rPr>
        <w:t>Der Angeklagte ist außerdem verpflichtet,</w:t>
      </w:r>
    </w:p>
    <w:p w14:paraId="0263CAF5" w14:textId="77777777" w:rsidR="006C1DF8" w:rsidRPr="00187487"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de-DE"/>
        </w:rPr>
      </w:pPr>
      <w:r>
        <w:rPr>
          <w:rFonts w:ascii="Times New Roman" w:hAnsi="Times New Roman" w:cs="Times New Roman"/>
          <w:color w:val="000000"/>
          <w:sz w:val="20"/>
          <w:szCs w:val="20"/>
          <w:lang w:val="de-DE"/>
        </w:rPr>
        <w:t>jeder Ladung Folge zu leisten und das Gericht von jeder Änderung seines Wohnsitzes oder Aufenthaltsortes von mehr als 7 Tagen zu benachrichtigen, einschließlich einer Änderung aufgrund einer Freiheitsentziehung in einer anderen Sache; bei Nichterscheinen kann der Angeklagte festgenommen und zwangsweise vorgeführt werden (Art. 75 §§ 1 und 2);</w:t>
      </w:r>
    </w:p>
    <w:p w14:paraId="496DCE5A" w14:textId="7E180770" w:rsidR="006C1DF8" w:rsidRPr="00187487"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de-DE"/>
        </w:rPr>
      </w:pPr>
      <w:r>
        <w:rPr>
          <w:rFonts w:ascii="Times New Roman" w:eastAsia="Times New Roman" w:hAnsi="Times New Roman" w:cs="Times New Roman"/>
          <w:color w:val="000000"/>
          <w:sz w:val="20"/>
          <w:szCs w:val="20"/>
          <w:lang w:val="de-DE"/>
        </w:rPr>
        <w:t>eine Adresse anzugeben, an die die Korrespondenz gesendet werden soll, wobei es sich auch um eine Postfachadresse handeln kann (Art. 132 §§ 1 und 2); andernfalls wird die Handlung oder Verhandlung in Abwesenheit des Angeklagten durchgeführt. Die Nichtangabe einer Adresse kann auch dazu führen, dass Anträge, Beschwerden oder Berufungen aufgrund des Ablaufs der Fristen nicht mehr eingereicht werden können (Art. 133 § 2);</w:t>
      </w:r>
    </w:p>
    <w:p w14:paraId="14923921" w14:textId="7AE257C8" w:rsidR="006C1DF8" w:rsidRPr="00187487"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de-DE"/>
        </w:rPr>
      </w:pPr>
      <w:r>
        <w:rPr>
          <w:rFonts w:ascii="Times New Roman" w:eastAsia="Times New Roman" w:hAnsi="Times New Roman" w:cs="Times New Roman"/>
          <w:color w:val="000000"/>
          <w:sz w:val="20"/>
          <w:szCs w:val="20"/>
          <w:lang w:val="de-DE"/>
        </w:rPr>
        <w:t>einen Empfänger für Zustellungen im Inland oder in einem anderen Mitgliedstaat der Europäischen Union anzugeben, wenn er sich nicht im Inland oder in einem anderen Mitgliedstaat der Europäischen Union aufhält; andernfalls gilt ein Schriftstück, das an die letzte bekannte Adresse im Inland oder in einem anderen Mitgliedstaat der Europäischen Union gesendet wurde, als wirksam zugestellt, und die Handlung oder Verhandlung wird in Abwesenheit des Angeklagten durchgeführt. Die Nichtangabe einer Adresse kann auch dazu führen, dass Anträge, Beschwerden oder Berufungen aufgrund des Ablaufs der Fristen nicht mehr eingereicht werden können (Art. 138);</w:t>
      </w:r>
    </w:p>
    <w:p w14:paraId="48A656B8" w14:textId="77777777" w:rsidR="006C1DF8" w:rsidRPr="00187487"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hAnsi="Times New Roman" w:cs="Times New Roman"/>
          <w:color w:val="000000"/>
          <w:sz w:val="20"/>
          <w:szCs w:val="20"/>
          <w:lang w:val="de-DE"/>
        </w:rPr>
      </w:pPr>
      <w:r>
        <w:rPr>
          <w:rFonts w:ascii="Times New Roman" w:hAnsi="Times New Roman" w:cs="Times New Roman"/>
          <w:color w:val="000000"/>
          <w:sz w:val="20"/>
          <w:szCs w:val="20"/>
          <w:lang w:val="de-DE"/>
        </w:rPr>
        <w:t>die neue Adresse anzugeben, wenn sich der Wohnort oder Aufenthaltsort ändert, auch aufgrund eines Freiheitsentzugs in einer anderen Sache; andernfalls gilt das an die bisherige Adresse gesendete Schriftstück als wirksam zugestellt, und die Handlung oder Verhandlung wird in Abwesenheit des Angeklagten durchgeführt. Die Nichtangabe einer Adresse kann auch dazu führen, dass Anträge, Beschwerden oder Berufungen aufgrund des Ablaufs der Fristen nicht mehr eingereicht werden können. Dies gilt auch für Angeklagte, die einen Antrag auf Zustellung an eine bestimmte Postfachadresse gestellt und die Behörde nicht über die Änderung dieser Adresse oder die Einstellung ihrer Nutzung informiert haben (Art. 139).</w:t>
      </w:r>
    </w:p>
    <w:p w14:paraId="30599F5F" w14:textId="77777777" w:rsidR="006C1DF8" w:rsidRPr="00187487" w:rsidRDefault="006C1DF8" w:rsidP="00AB4615">
      <w:pPr>
        <w:tabs>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de-DE"/>
        </w:rPr>
      </w:pPr>
      <w:r>
        <w:rPr>
          <w:rFonts w:ascii="Times New Roman" w:hAnsi="Times New Roman" w:cs="Times New Roman"/>
          <w:color w:val="000000"/>
          <w:sz w:val="20"/>
          <w:szCs w:val="20"/>
          <w:lang w:val="de-DE"/>
        </w:rPr>
        <w:t>Die Bekanntgabe der Verfügung zur Anberaumung der Verhandlungstermine hat die gleiche Wirkung wie die Ladung der anwesenden Verfahrensbeteiligten zur Teilnahme an der Verhandlung oder die Benachrichtigung über die Verhandlungstermine (Art. 349 § 8).</w:t>
      </w:r>
    </w:p>
    <w:p w14:paraId="7943C0C5" w14:textId="77777777" w:rsidR="006C1DF8" w:rsidRPr="00187487"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Verdana" w:hAnsi="Verdana" w:cs="Verdana"/>
          <w:color w:val="000000"/>
          <w:sz w:val="2"/>
          <w:szCs w:val="2"/>
          <w:lang w:val="de-DE"/>
        </w:rPr>
      </w:pPr>
    </w:p>
    <w:p w14:paraId="37474DC9" w14:textId="77777777" w:rsidR="006C1DF8" w:rsidRPr="00187487"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de-DE"/>
        </w:rPr>
      </w:pPr>
      <w:r>
        <w:rPr>
          <w:rFonts w:ascii="Times New Roman" w:hAnsi="Times New Roman" w:cs="Times New Roman"/>
          <w:color w:val="000000"/>
          <w:sz w:val="20"/>
          <w:szCs w:val="20"/>
          <w:lang w:val="de-DE"/>
        </w:rPr>
        <w:t>Wird dem Angeklagten eine Straftat zur Last gelegt, für die oder in Verbindung mit der eine Geldstrafe, eine Geldleistung, eine Einziehung, eine Entschädigungsmaßnahme, die Rückgabe des Vermögensvorteils, den der Täter aus der begangenen Straftat erzielt hat, oder dessen Gegenwert an den Geschädigten oder einen anderen Berechtigten verhängt werden kann, kann von Amts wegen eine Sicherung der Vollstreckung dieser Entscheidung in das Vermögen des Angeklagten oder anderer in den Rechtsvorschriften genannter Rechtsträger erfolgen, wenn die begründete Befürchtung besteht, dass ohne eine solche Sicherung die Vollstreckung der Entscheidung unmöglich gemacht oder erheblich erschwert würde. Aus denselben Gründen kann auch von Amts wegen eine Sicherung der Vollstreckung der Entscheidung über die Gerichtskosten in das Vermögen des Angeklagten erfolgen (Art. 291 § 1–3).</w:t>
      </w:r>
    </w:p>
    <w:p w14:paraId="457FFA8D" w14:textId="77777777" w:rsidR="006C1DF8" w:rsidRPr="00187487"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de-DE"/>
        </w:rPr>
      </w:pPr>
    </w:p>
    <w:p w14:paraId="59BBC797" w14:textId="77777777" w:rsidR="006C1DF8" w:rsidRPr="00187487"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de-DE"/>
        </w:rPr>
      </w:pPr>
    </w:p>
    <w:p w14:paraId="5B27A055" w14:textId="77777777" w:rsidR="006C1DF8" w:rsidRPr="00187487"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de-DE"/>
        </w:rPr>
      </w:pPr>
    </w:p>
    <w:p w14:paraId="1A3EB43F" w14:textId="77777777" w:rsidR="006C1DF8" w:rsidRPr="00187487"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de-DE"/>
        </w:rPr>
      </w:pPr>
    </w:p>
    <w:p w14:paraId="7295A6C8" w14:textId="77777777" w:rsidR="006C1DF8" w:rsidRPr="00187487"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de-DE"/>
        </w:rPr>
      </w:pPr>
    </w:p>
    <w:p w14:paraId="722C34F3" w14:textId="77777777" w:rsidR="006C1DF8" w:rsidRPr="00187487" w:rsidRDefault="006C1DF8"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eastAsia="Times New Roman" w:hAnsi="Times New Roman" w:cs="Times New Roman"/>
          <w:sz w:val="16"/>
          <w:szCs w:val="16"/>
          <w:lang w:val="de-DE"/>
        </w:rPr>
      </w:pPr>
      <w:r>
        <w:rPr>
          <w:rFonts w:ascii="Times New Roman" w:hAnsi="Times New Roman" w:cs="Times New Roman"/>
          <w:sz w:val="16"/>
          <w:szCs w:val="16"/>
          <w:lang w:val="de-DE"/>
        </w:rPr>
        <w:t>Wählen Sie die richtige Formulierung aus.</w:t>
      </w:r>
    </w:p>
    <w:p w14:paraId="24F83681" w14:textId="77777777" w:rsidR="006C1DF8" w:rsidRPr="00187487" w:rsidRDefault="006C1DF8"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hAnsi="Times New Roman" w:cs="Times New Roman"/>
          <w:sz w:val="16"/>
          <w:szCs w:val="16"/>
          <w:lang w:val="de-DE"/>
        </w:rPr>
      </w:pPr>
      <w:r>
        <w:rPr>
          <w:rFonts w:ascii="Times New Roman" w:eastAsia="Times New Roman" w:hAnsi="Times New Roman" w:cs="Times New Roman"/>
          <w:sz w:val="16"/>
          <w:szCs w:val="16"/>
          <w:lang w:val="de-DE"/>
        </w:rPr>
        <w:t xml:space="preserve">Sofern keine andere Rechtsgrundlage angegeben ist, beziehen sich die Angaben in Klammern auf die entsprechenden Artikel des Gesetzes „Strafprozessordnung“ vom 6. Juni 1997 (Dz. U. </w:t>
      </w:r>
      <w:r>
        <w:rPr>
          <w:rFonts w:ascii="Times New Roman" w:eastAsia="Times New Roman" w:hAnsi="Times New Roman" w:cs="Times New Roman"/>
          <w:i/>
          <w:iCs/>
          <w:sz w:val="16"/>
          <w:szCs w:val="16"/>
          <w:lang w:val="de-DE"/>
        </w:rPr>
        <w:t>[</w:t>
      </w:r>
      <w:proofErr w:type="spellStart"/>
      <w:r>
        <w:rPr>
          <w:rFonts w:ascii="Times New Roman" w:eastAsia="Times New Roman" w:hAnsi="Times New Roman" w:cs="Times New Roman"/>
          <w:i/>
          <w:iCs/>
          <w:sz w:val="16"/>
          <w:szCs w:val="16"/>
          <w:lang w:val="de-DE"/>
        </w:rPr>
        <w:t>poln</w:t>
      </w:r>
      <w:proofErr w:type="spellEnd"/>
      <w:r>
        <w:rPr>
          <w:rFonts w:ascii="Times New Roman" w:eastAsia="Times New Roman" w:hAnsi="Times New Roman" w:cs="Times New Roman"/>
          <w:i/>
          <w:iCs/>
          <w:sz w:val="16"/>
          <w:szCs w:val="16"/>
          <w:lang w:val="de-DE"/>
        </w:rPr>
        <w:t xml:space="preserve">. GBl.] </w:t>
      </w:r>
      <w:r>
        <w:rPr>
          <w:rFonts w:ascii="Times New Roman" w:eastAsia="Times New Roman" w:hAnsi="Times New Roman" w:cs="Times New Roman"/>
          <w:sz w:val="16"/>
          <w:szCs w:val="16"/>
          <w:lang w:val="de-DE"/>
        </w:rPr>
        <w:t>von 2018, Pos. 1987, in der jeweils aktuellen Fassung).</w:t>
      </w:r>
    </w:p>
    <w:p w14:paraId="614FBFD0" w14:textId="77777777" w:rsidR="006C1DF8" w:rsidRPr="00187487" w:rsidRDefault="006C1DF8" w:rsidP="00AB4615">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autoSpaceDE w:val="0"/>
        <w:autoSpaceDN w:val="0"/>
        <w:adjustRightInd w:val="0"/>
        <w:spacing w:after="0" w:line="240" w:lineRule="auto"/>
        <w:jc w:val="both"/>
        <w:rPr>
          <w:rFonts w:ascii="Times New Roman" w:hAnsi="Times New Roman" w:cs="Times New Roman"/>
          <w:b/>
          <w:bCs/>
          <w:i/>
          <w:iCs/>
          <w:color w:val="000000"/>
          <w:sz w:val="16"/>
          <w:szCs w:val="16"/>
          <w:lang w:val="de-DE"/>
        </w:rPr>
      </w:pPr>
    </w:p>
    <w:p w14:paraId="4B7E7D4E" w14:textId="77777777" w:rsidR="006C1DF8" w:rsidRPr="00187487" w:rsidRDefault="006C1DF8" w:rsidP="00AB4615">
      <w:pPr>
        <w:widowControl w:val="0"/>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autoSpaceDE w:val="0"/>
        <w:autoSpaceDN w:val="0"/>
        <w:adjustRightInd w:val="0"/>
        <w:spacing w:after="0" w:line="240" w:lineRule="auto"/>
        <w:jc w:val="both"/>
        <w:rPr>
          <w:rFonts w:ascii="Times New Roman" w:hAnsi="Times New Roman" w:cs="Times New Roman"/>
          <w:color w:val="000000"/>
          <w:sz w:val="16"/>
          <w:szCs w:val="16"/>
          <w:lang w:val="de-DE"/>
        </w:rPr>
      </w:pPr>
    </w:p>
    <w:p w14:paraId="195DF4DC" w14:textId="78D408C1" w:rsidR="00B376B7" w:rsidRPr="00187487" w:rsidRDefault="00B376B7" w:rsidP="00AB4615">
      <w:pPr>
        <w:pStyle w:val="Normal"/>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jc w:val="both"/>
        <w:rPr>
          <w:rFonts w:ascii="Times New Roman" w:hAnsi="Times New Roman" w:cs="Times New Roman"/>
          <w:lang w:val="de-DE"/>
        </w:rPr>
      </w:pPr>
    </w:p>
    <w:sectPr w:rsidR="00B376B7" w:rsidRPr="001874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41FF" w14:textId="77777777" w:rsidR="0061174E" w:rsidRDefault="0061174E" w:rsidP="0061174E">
      <w:pPr>
        <w:spacing w:after="0" w:line="240" w:lineRule="auto"/>
      </w:pPr>
      <w:r>
        <w:separator/>
      </w:r>
    </w:p>
  </w:endnote>
  <w:endnote w:type="continuationSeparator" w:id="0">
    <w:p w14:paraId="62D11CE1" w14:textId="77777777" w:rsidR="0061174E" w:rsidRDefault="0061174E" w:rsidP="00611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3D06D" w14:textId="77777777" w:rsidR="0061174E" w:rsidRDefault="0061174E" w:rsidP="0061174E">
      <w:pPr>
        <w:spacing w:after="0" w:line="240" w:lineRule="auto"/>
      </w:pPr>
      <w:r>
        <w:separator/>
      </w:r>
    </w:p>
  </w:footnote>
  <w:footnote w:type="continuationSeparator" w:id="0">
    <w:p w14:paraId="16EABE6E" w14:textId="77777777" w:rsidR="0061174E" w:rsidRDefault="0061174E" w:rsidP="00611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abstractNum>
  <w:abstractNum w:abstractNumId="1" w15:restartNumberingAfterBreak="0">
    <w:nsid w:val="00000002"/>
    <w:multiLevelType w:val="multilevel"/>
    <w:tmpl w:val="00000002"/>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2" w15:restartNumberingAfterBreak="0">
    <w:nsid w:val="00000003"/>
    <w:multiLevelType w:val="multilevel"/>
    <w:tmpl w:val="00000003"/>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3" w15:restartNumberingAfterBreak="0">
    <w:nsid w:val="00000004"/>
    <w:multiLevelType w:val="multilevel"/>
    <w:tmpl w:val="00000004"/>
    <w:lvl w:ilvl="0">
      <w:start w:val="1"/>
      <w:numFmt w:val="decimal"/>
      <w:lvlText w:val="%1)"/>
      <w:lvlJc w:val="left"/>
      <w:pPr>
        <w:ind w:left="1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1">
      <w:start w:val="1"/>
      <w:numFmt w:val="decimal"/>
      <w:lvlText w:val="%2)"/>
      <w:lvlJc w:val="left"/>
      <w:pPr>
        <w:ind w:left="5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2">
      <w:start w:val="1"/>
      <w:numFmt w:val="decimal"/>
      <w:lvlText w:val="%3)"/>
      <w:lvlJc w:val="left"/>
      <w:pPr>
        <w:ind w:left="8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3">
      <w:start w:val="1"/>
      <w:numFmt w:val="decimal"/>
      <w:lvlText w:val="%4)"/>
      <w:lvlJc w:val="left"/>
      <w:pPr>
        <w:ind w:left="12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4">
      <w:start w:val="1"/>
      <w:numFmt w:val="decimal"/>
      <w:lvlText w:val="%5)"/>
      <w:lvlJc w:val="left"/>
      <w:pPr>
        <w:ind w:left="158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5">
      <w:start w:val="1"/>
      <w:numFmt w:val="decimal"/>
      <w:lvlText w:val="%6)"/>
      <w:lvlJc w:val="left"/>
      <w:pPr>
        <w:ind w:left="19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6">
      <w:start w:val="1"/>
      <w:numFmt w:val="decimal"/>
      <w:lvlText w:val="%7)"/>
      <w:lvlJc w:val="left"/>
      <w:pPr>
        <w:ind w:left="23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7">
      <w:start w:val="1"/>
      <w:numFmt w:val="decimal"/>
      <w:lvlText w:val="%8)"/>
      <w:lvlJc w:val="left"/>
      <w:pPr>
        <w:ind w:left="26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8">
      <w:start w:val="1"/>
      <w:numFmt w:val="decimal"/>
      <w:lvlText w:val="%9)"/>
      <w:lvlJc w:val="left"/>
      <w:pPr>
        <w:ind w:left="30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abstractNum>
  <w:num w:numId="1" w16cid:durableId="338050298">
    <w:abstractNumId w:val="0"/>
  </w:num>
  <w:num w:numId="2" w16cid:durableId="101338771">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3" w16cid:durableId="782266440">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4" w16cid:durableId="925919178">
    <w:abstractNumId w:val="1"/>
  </w:num>
  <w:num w:numId="5" w16cid:durableId="1346440487">
    <w:abstractNumId w:val="2"/>
  </w:num>
  <w:num w:numId="6" w16cid:durableId="20541849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616E0"/>
    <w:rsid w:val="0008467F"/>
    <w:rsid w:val="00187487"/>
    <w:rsid w:val="00541687"/>
    <w:rsid w:val="00584D6E"/>
    <w:rsid w:val="00592707"/>
    <w:rsid w:val="0061174E"/>
    <w:rsid w:val="006C1DF8"/>
    <w:rsid w:val="006C5AD7"/>
    <w:rsid w:val="00842077"/>
    <w:rsid w:val="008616E0"/>
    <w:rsid w:val="00876AEC"/>
    <w:rsid w:val="00890D35"/>
    <w:rsid w:val="00AB4615"/>
    <w:rsid w:val="00B129EE"/>
    <w:rsid w:val="00B376B7"/>
    <w:rsid w:val="00CE4A7A"/>
    <w:rsid w:val="00EE5417"/>
    <w:rsid w:val="00F52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1955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uiPriority w:val="99"/>
    <w:rsid w:val="00541687"/>
    <w:pPr>
      <w:widowControl w:val="0"/>
      <w:autoSpaceDE w:val="0"/>
      <w:autoSpaceDN w:val="0"/>
      <w:adjustRightInd w:val="0"/>
      <w:spacing w:after="0" w:line="240" w:lineRule="auto"/>
    </w:pPr>
    <w:rPr>
      <w:rFonts w:ascii="Arial" w:hAnsi="Arial" w:cs="Arial"/>
      <w:sz w:val="24"/>
      <w:szCs w:val="24"/>
      <w:lang w:eastAsia="pl-PL"/>
    </w:rPr>
  </w:style>
  <w:style w:type="paragraph" w:customStyle="1" w:styleId="BODY">
    <w:name w:val="BODY"/>
    <w:basedOn w:val="Normal"/>
    <w:uiPriority w:val="99"/>
    <w:rsid w:val="00541687"/>
    <w:pPr>
      <w:spacing w:before="134" w:after="134"/>
    </w:pPr>
    <w:rPr>
      <w:lang w:val="x-none" w:eastAsia="x-none"/>
    </w:rPr>
  </w:style>
  <w:style w:type="character" w:customStyle="1" w:styleId="s17">
    <w:name w:val="s17"/>
    <w:basedOn w:val="Domylnaczcionkaakapitu"/>
    <w:uiPriority w:val="99"/>
    <w:rsid w:val="006C1DF8"/>
    <w:rPr>
      <w:strike/>
      <w:lang w:eastAsia="x-none"/>
    </w:rPr>
  </w:style>
  <w:style w:type="character" w:customStyle="1" w:styleId="txt-new1">
    <w:name w:val="txt-new1"/>
    <w:basedOn w:val="Domylnaczcionkaakapitu"/>
    <w:uiPriority w:val="99"/>
    <w:rsid w:val="006C1DF8"/>
    <w:rPr>
      <w:lang w:eastAsia="x-none"/>
    </w:rPr>
  </w:style>
  <w:style w:type="character" w:customStyle="1" w:styleId="tabulatory1">
    <w:name w:val="tabulatory1"/>
    <w:basedOn w:val="Domylnaczcionkaakapitu"/>
    <w:uiPriority w:val="99"/>
    <w:rsid w:val="006C1DF8"/>
    <w:rPr>
      <w:lang w:eastAsia="x-none"/>
    </w:rPr>
  </w:style>
  <w:style w:type="character" w:customStyle="1" w:styleId="txt-new2">
    <w:name w:val="txt-new2"/>
    <w:basedOn w:val="Domylnaczcionkaakapitu"/>
    <w:uiPriority w:val="99"/>
    <w:rsid w:val="006C1DF8"/>
    <w:rPr>
      <w:lang w:eastAsia="x-none"/>
    </w:rPr>
  </w:style>
  <w:style w:type="character" w:customStyle="1" w:styleId="txt-new3">
    <w:name w:val="txt-new3"/>
    <w:basedOn w:val="Domylnaczcionkaakapitu"/>
    <w:uiPriority w:val="99"/>
    <w:rsid w:val="006C1DF8"/>
    <w:rPr>
      <w:lang w:eastAsia="x-none"/>
    </w:rPr>
  </w:style>
  <w:style w:type="character" w:customStyle="1" w:styleId="txt-new4">
    <w:name w:val="txt-new4"/>
    <w:basedOn w:val="Domylnaczcionkaakapitu"/>
    <w:uiPriority w:val="99"/>
    <w:rsid w:val="006C1DF8"/>
    <w:rPr>
      <w:lang w:eastAsia="x-none"/>
    </w:rPr>
  </w:style>
  <w:style w:type="character" w:customStyle="1" w:styleId="txt-new6">
    <w:name w:val="txt-new6"/>
    <w:basedOn w:val="Domylnaczcionkaakapitu"/>
    <w:uiPriority w:val="99"/>
    <w:rsid w:val="006C1DF8"/>
    <w:rPr>
      <w:lang w:eastAsia="x-none"/>
    </w:rPr>
  </w:style>
  <w:style w:type="character" w:customStyle="1" w:styleId="FontStyle15">
    <w:name w:val="Font Style15"/>
    <w:basedOn w:val="Domylnaczcionkaakapitu"/>
    <w:uiPriority w:val="99"/>
    <w:rsid w:val="006C1DF8"/>
    <w:rPr>
      <w:rFonts w:cs="Franklin Gothic Medium"/>
      <w:b/>
      <w:bCs/>
      <w:sz w:val="12"/>
      <w:szCs w:val="12"/>
      <w:lang w:eastAsia="x-none"/>
    </w:rPr>
  </w:style>
  <w:style w:type="paragraph" w:styleId="Nagwek">
    <w:name w:val="header"/>
    <w:basedOn w:val="Normalny"/>
    <w:link w:val="NagwekZnak"/>
    <w:uiPriority w:val="99"/>
    <w:unhideWhenUsed/>
    <w:rsid w:val="006117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74E"/>
  </w:style>
  <w:style w:type="paragraph" w:styleId="Stopka">
    <w:name w:val="footer"/>
    <w:basedOn w:val="Normalny"/>
    <w:link w:val="StopkaZnak"/>
    <w:uiPriority w:val="99"/>
    <w:unhideWhenUsed/>
    <w:rsid w:val="006117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2383</Words>
  <Characters>14586</Characters>
  <Application>Microsoft Office Word</Application>
  <DocSecurity>0</DocSecurity>
  <Lines>184</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2026-03-19T12:29:00Z</dcterms:created>
  <dcterms:modified xsi:type="dcterms:W3CDTF">2026-03-19T12:29:00Z</dcterms:modified>
</cp:coreProperties>
</file>